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D6F79" w14:textId="77777777" w:rsidR="00D12632" w:rsidRPr="00593AAF" w:rsidRDefault="00000000">
      <w:pPr>
        <w:rPr>
          <w:rFonts w:ascii="Calibri" w:hAnsi="Calibri" w:cs="Calibri"/>
          <w:b/>
          <w:bCs/>
          <w:color w:val="F6BB00"/>
          <w:u w:val="single"/>
        </w:rPr>
      </w:pPr>
      <w:r w:rsidRPr="00593AAF">
        <w:rPr>
          <w:rFonts w:ascii="Calibri" w:hAnsi="Calibri" w:cs="Calibri"/>
          <w:b/>
          <w:bCs/>
          <w:color w:val="F6BB00"/>
          <w:u w:val="single"/>
        </w:rPr>
        <w:t>DDM Release Notes for CTI Roadmap Release 1a (R4.9.0.0) - Released 28</w:t>
      </w:r>
      <w:r w:rsidRPr="00593AAF">
        <w:rPr>
          <w:rFonts w:ascii="Calibri" w:hAnsi="Calibri" w:cs="Calibri"/>
          <w:b/>
          <w:bCs/>
          <w:color w:val="F6BB00"/>
          <w:u w:val="single"/>
          <w:vertAlign w:val="superscript"/>
        </w:rPr>
        <w:t>th</w:t>
      </w:r>
      <w:r w:rsidRPr="00593AAF">
        <w:rPr>
          <w:rFonts w:ascii="Calibri" w:hAnsi="Calibri" w:cs="Calibri"/>
          <w:b/>
          <w:bCs/>
          <w:color w:val="F6BB00"/>
          <w:u w:val="single"/>
        </w:rPr>
        <w:t xml:space="preserve"> November 2025</w:t>
      </w:r>
    </w:p>
    <w:p w14:paraId="6CCD6F7B" w14:textId="7D0125D6" w:rsidR="00D12632" w:rsidRDefault="00000000">
      <w:pPr>
        <w:rPr>
          <w:rFonts w:ascii="Calibri" w:hAnsi="Calibri" w:cs="Calibri"/>
          <w:color w:val="215E99" w:themeColor="text2" w:themeTint="BF"/>
        </w:rPr>
      </w:pPr>
      <w:r w:rsidRPr="00593AAF">
        <w:rPr>
          <w:rFonts w:ascii="Calibri" w:hAnsi="Calibri" w:cs="Calibri"/>
          <w:color w:val="215E99" w:themeColor="text2" w:themeTint="BF"/>
        </w:rPr>
        <w:t>This note covers the next enhancement release for DDM. The content and design are aligned to the CTI Roadmap as previously circulated.</w:t>
      </w:r>
    </w:p>
    <w:p w14:paraId="418FEF37" w14:textId="77777777" w:rsidR="00593AAF" w:rsidRPr="00593AAF" w:rsidRDefault="00593AAF">
      <w:pPr>
        <w:rPr>
          <w:rFonts w:ascii="Calibri" w:hAnsi="Calibri" w:cs="Calibri"/>
          <w:color w:val="215E99" w:themeColor="text2" w:themeTint="BF"/>
        </w:rPr>
      </w:pPr>
    </w:p>
    <w:p w14:paraId="6CCD6F7C" w14:textId="77777777" w:rsidR="00D12632" w:rsidRPr="00593AAF" w:rsidRDefault="00000000">
      <w:pPr>
        <w:rPr>
          <w:rFonts w:ascii="Calibri" w:hAnsi="Calibri" w:cs="Calibri"/>
          <w:b/>
          <w:bCs/>
          <w:color w:val="F6BB00"/>
          <w:u w:val="single"/>
        </w:rPr>
      </w:pPr>
      <w:r w:rsidRPr="00593AAF">
        <w:rPr>
          <w:rFonts w:ascii="Calibri" w:hAnsi="Calibri" w:cs="Calibri"/>
          <w:b/>
          <w:bCs/>
          <w:color w:val="F6BB00"/>
          <w:u w:val="single"/>
        </w:rPr>
        <w:t>Summary of Changes – CTI Roadmap Release 1a Q4 2025</w:t>
      </w:r>
    </w:p>
    <w:p w14:paraId="6CCD6F7E" w14:textId="77777777" w:rsidR="00D12632" w:rsidRPr="00593AAF" w:rsidRDefault="00000000">
      <w:pPr>
        <w:rPr>
          <w:rFonts w:ascii="Calibri" w:hAnsi="Calibri" w:cs="Calibri"/>
          <w:b/>
          <w:bCs/>
          <w:color w:val="215E99" w:themeColor="text2" w:themeTint="BF"/>
        </w:rPr>
      </w:pPr>
      <w:r w:rsidRPr="00593AAF">
        <w:rPr>
          <w:rFonts w:ascii="Calibri" w:hAnsi="Calibri" w:cs="Calibri"/>
          <w:b/>
          <w:bCs/>
          <w:color w:val="215E99" w:themeColor="text2" w:themeTint="BF"/>
        </w:rPr>
        <w:t>US 32388 - Contract Screen - Section Administrator</w:t>
      </w:r>
    </w:p>
    <w:p w14:paraId="6CCD6F7F" w14:textId="77777777" w:rsidR="00D12632" w:rsidRPr="00593AAF" w:rsidRDefault="00000000">
      <w:pPr>
        <w:rPr>
          <w:rFonts w:ascii="Calibri" w:hAnsi="Calibri" w:cs="Calibri"/>
          <w:color w:val="215E99" w:themeColor="text2" w:themeTint="BF"/>
        </w:rPr>
      </w:pPr>
      <w:r w:rsidRPr="00593AAF">
        <w:rPr>
          <w:rFonts w:ascii="Calibri" w:hAnsi="Calibri" w:cs="Calibri"/>
          <w:color w:val="215E99" w:themeColor="text2" w:themeTint="BF"/>
        </w:rPr>
        <w:t>To be able to easily identify Contracts where the organization is designated as the Section Administrator, so that it is easy to quickly manage, track, and prioritize, responsibilities and obligations within those specific contracts.</w:t>
      </w:r>
    </w:p>
    <w:p w14:paraId="6CCD6F80" w14:textId="77777777" w:rsidR="00D12632" w:rsidRPr="00593AAF" w:rsidRDefault="00000000">
      <w:pPr>
        <w:rPr>
          <w:rFonts w:ascii="Calibri" w:hAnsi="Calibri" w:cs="Calibri"/>
          <w:color w:val="215E99" w:themeColor="text2" w:themeTint="BF"/>
        </w:rPr>
      </w:pPr>
      <w:r w:rsidRPr="00593AAF">
        <w:rPr>
          <w:rFonts w:ascii="Calibri" w:hAnsi="Calibri" w:cs="Calibri"/>
          <w:color w:val="215E99" w:themeColor="text2" w:themeTint="BF"/>
        </w:rPr>
        <w:t> </w:t>
      </w:r>
    </w:p>
    <w:p w14:paraId="6CCD6F81" w14:textId="77777777" w:rsidR="00D12632" w:rsidRPr="00593AAF" w:rsidRDefault="00000000">
      <w:pPr>
        <w:rPr>
          <w:rFonts w:ascii="Calibri" w:hAnsi="Calibri" w:cs="Calibri"/>
          <w:b/>
          <w:bCs/>
          <w:color w:val="215E99" w:themeColor="text2" w:themeTint="BF"/>
        </w:rPr>
      </w:pPr>
      <w:r w:rsidRPr="00593AAF">
        <w:rPr>
          <w:rFonts w:ascii="Calibri" w:hAnsi="Calibri" w:cs="Calibri"/>
          <w:b/>
          <w:bCs/>
          <w:color w:val="215E99" w:themeColor="text2" w:themeTint="BF"/>
        </w:rPr>
        <w:t>US 32561 - Contract Admin &amp; Lead Indicator on Main / Welcome Screen</w:t>
      </w:r>
    </w:p>
    <w:p w14:paraId="6CCD6F82" w14:textId="77777777" w:rsidR="00D12632" w:rsidRPr="00593AAF" w:rsidRDefault="00000000">
      <w:pPr>
        <w:rPr>
          <w:rFonts w:ascii="Calibri" w:hAnsi="Calibri" w:cs="Calibri"/>
          <w:color w:val="215E99" w:themeColor="text2" w:themeTint="BF"/>
        </w:rPr>
      </w:pPr>
      <w:r w:rsidRPr="00593AAF">
        <w:rPr>
          <w:rFonts w:ascii="Calibri" w:hAnsi="Calibri" w:cs="Calibri"/>
          <w:color w:val="215E99" w:themeColor="text2" w:themeTint="BF"/>
        </w:rPr>
        <w:t xml:space="preserve">BDXs will be displayed on the Main/Welcome Screen to include details about the Contract Administrator and indicate whether were the MA is the lead within the contract, so Contract Admins can quickly access relevant information and understand responsibilities </w:t>
      </w:r>
      <w:proofErr w:type="gramStart"/>
      <w:r w:rsidRPr="00593AAF">
        <w:rPr>
          <w:rFonts w:ascii="Calibri" w:hAnsi="Calibri" w:cs="Calibri"/>
          <w:color w:val="215E99" w:themeColor="text2" w:themeTint="BF"/>
        </w:rPr>
        <w:t>at a glance</w:t>
      </w:r>
      <w:proofErr w:type="gramEnd"/>
      <w:r w:rsidRPr="00593AAF">
        <w:rPr>
          <w:rFonts w:ascii="Calibri" w:hAnsi="Calibri" w:cs="Calibri"/>
          <w:color w:val="215E99" w:themeColor="text2" w:themeTint="BF"/>
        </w:rPr>
        <w:t>.</w:t>
      </w:r>
    </w:p>
    <w:p w14:paraId="6CCD6F83" w14:textId="77777777" w:rsidR="00D12632" w:rsidRPr="00593AAF" w:rsidRDefault="00000000">
      <w:pPr>
        <w:rPr>
          <w:rFonts w:ascii="Calibri" w:hAnsi="Calibri" w:cs="Calibri"/>
          <w:color w:val="215E99" w:themeColor="text2" w:themeTint="BF"/>
        </w:rPr>
      </w:pPr>
      <w:r w:rsidRPr="00593AAF">
        <w:rPr>
          <w:rFonts w:ascii="Calibri" w:hAnsi="Calibri" w:cs="Calibri"/>
          <w:color w:val="215E99" w:themeColor="text2" w:themeTint="BF"/>
        </w:rPr>
        <w:t> </w:t>
      </w:r>
    </w:p>
    <w:p w14:paraId="6CCD6F84" w14:textId="77777777" w:rsidR="00D12632" w:rsidRPr="00593AAF" w:rsidRDefault="00000000">
      <w:pPr>
        <w:rPr>
          <w:rFonts w:ascii="Calibri" w:hAnsi="Calibri" w:cs="Calibri"/>
          <w:b/>
          <w:bCs/>
          <w:color w:val="215E99" w:themeColor="text2" w:themeTint="BF"/>
        </w:rPr>
      </w:pPr>
      <w:r w:rsidRPr="00593AAF">
        <w:rPr>
          <w:rFonts w:ascii="Calibri" w:hAnsi="Calibri" w:cs="Calibri"/>
          <w:b/>
          <w:bCs/>
          <w:color w:val="215E99" w:themeColor="text2" w:themeTint="BF"/>
        </w:rPr>
        <w:t>US 34412 - Transaction Type Validations Restating bordereaux as a Roadmap Item</w:t>
      </w:r>
    </w:p>
    <w:p w14:paraId="6CCD6F85" w14:textId="77777777" w:rsidR="00D12632" w:rsidRPr="00593AAF" w:rsidRDefault="00000000">
      <w:pPr>
        <w:rPr>
          <w:rFonts w:ascii="Calibri" w:hAnsi="Calibri" w:cs="Calibri"/>
          <w:color w:val="215E99" w:themeColor="text2" w:themeTint="BF"/>
        </w:rPr>
      </w:pPr>
      <w:r w:rsidRPr="00593AAF">
        <w:rPr>
          <w:rFonts w:ascii="Calibri" w:hAnsi="Calibri" w:cs="Calibri"/>
          <w:color w:val="215E99" w:themeColor="text2" w:themeTint="BF"/>
        </w:rPr>
        <w:t>When processing a restatement risk or risk and premium bordereau and transaction types are mapped, then when subsequent bordereaux are processed with the identical risk details (money fields</w:t>
      </w:r>
      <w:proofErr w:type="gramStart"/>
      <w:r w:rsidRPr="00593AAF">
        <w:rPr>
          <w:rFonts w:ascii="Calibri" w:hAnsi="Calibri" w:cs="Calibri"/>
          <w:color w:val="215E99" w:themeColor="text2" w:themeTint="BF"/>
        </w:rPr>
        <w:t>)</w:t>
      </w:r>
      <w:proofErr w:type="gramEnd"/>
      <w:r w:rsidRPr="00593AAF">
        <w:rPr>
          <w:rFonts w:ascii="Calibri" w:hAnsi="Calibri" w:cs="Calibri"/>
          <w:color w:val="215E99" w:themeColor="text2" w:themeTint="BF"/>
        </w:rPr>
        <w:t xml:space="preserve"> but the transaction type still reflects new, then Tide/ DDM is to ignore these new iterations of the risk for lifecycle validation checks.</w:t>
      </w:r>
    </w:p>
    <w:p w14:paraId="6CCD6F86" w14:textId="77777777" w:rsidR="00D12632" w:rsidRDefault="00D12632"/>
    <w:sectPr w:rsidR="00D1263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F2815" w14:textId="77777777" w:rsidR="00B30C1E" w:rsidRDefault="00B30C1E">
      <w:pPr>
        <w:spacing w:after="0" w:line="240" w:lineRule="auto"/>
      </w:pPr>
      <w:r>
        <w:separator/>
      </w:r>
    </w:p>
  </w:endnote>
  <w:endnote w:type="continuationSeparator" w:id="0">
    <w:p w14:paraId="245BFA86" w14:textId="77777777" w:rsidR="00B30C1E" w:rsidRDefault="00B30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B6B3C" w14:textId="77777777" w:rsidR="00B30C1E" w:rsidRDefault="00B30C1E">
      <w:pPr>
        <w:spacing w:after="0" w:line="240" w:lineRule="auto"/>
      </w:pPr>
      <w:r>
        <w:rPr>
          <w:color w:val="000000"/>
        </w:rPr>
        <w:separator/>
      </w:r>
    </w:p>
  </w:footnote>
  <w:footnote w:type="continuationSeparator" w:id="0">
    <w:p w14:paraId="67DCFE66" w14:textId="77777777" w:rsidR="00B30C1E" w:rsidRDefault="00B30C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12632"/>
    <w:rsid w:val="003C0A81"/>
    <w:rsid w:val="004772F3"/>
    <w:rsid w:val="00593AAF"/>
    <w:rsid w:val="00B30C1E"/>
    <w:rsid w:val="00BA37E5"/>
    <w:rsid w:val="00D12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6F79"/>
  <w15:docId w15:val="{165B8135-EF23-4D7B-9BC9-344DB86F1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f8fd284-317a-41a3-ade9-c513e2cba707}" enabled="0" method="" siteId="{bf8fd284-317a-41a3-ade9-c513e2cba707}"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Salmon</dc:creator>
  <dc:description/>
  <cp:lastModifiedBy>Jenny Salmon</cp:lastModifiedBy>
  <cp:revision>4</cp:revision>
  <dcterms:created xsi:type="dcterms:W3CDTF">2025-11-27T10:26:00Z</dcterms:created>
  <dcterms:modified xsi:type="dcterms:W3CDTF">2025-11-27T10:27:00Z</dcterms:modified>
</cp:coreProperties>
</file>